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3CD9D" w14:textId="77777777" w:rsidR="00CA5537" w:rsidRPr="00A068B6" w:rsidRDefault="004B02E6">
      <w:pPr>
        <w:pStyle w:val="Nagwek2"/>
        <w:rPr>
          <w:rFonts w:ascii="Arial" w:eastAsia="Arial" w:hAnsi="Arial" w:cs="Arial"/>
          <w:sz w:val="28"/>
          <w:szCs w:val="28"/>
          <w:lang w:val="pl-PL"/>
        </w:rPr>
      </w:pPr>
      <w:bookmarkStart w:id="0" w:name="_heading=h.u98l9ubkufd2" w:colFirst="0" w:colLast="0"/>
      <w:bookmarkEnd w:id="0"/>
      <w:r w:rsidRPr="00A068B6">
        <w:rPr>
          <w:sz w:val="28"/>
          <w:szCs w:val="28"/>
          <w:lang w:val="pl-PL"/>
        </w:rPr>
        <w:t xml:space="preserve">Badanie: czy doświadczanie ekstremalnych zjawisk pogodowych wiąże się z działaniem na rzecz klimatu? </w:t>
      </w:r>
      <w:r w:rsidRPr="00A068B6">
        <w:rPr>
          <w:rFonts w:ascii="Arial" w:eastAsia="Arial" w:hAnsi="Arial" w:cs="Arial"/>
          <w:sz w:val="28"/>
          <w:szCs w:val="28"/>
          <w:lang w:val="pl-PL"/>
        </w:rPr>
        <w:t xml:space="preserve"> </w:t>
      </w:r>
    </w:p>
    <w:p w14:paraId="10D3ED0F" w14:textId="77777777" w:rsidR="00CA5537" w:rsidRPr="00A068B6" w:rsidRDefault="00CA5537">
      <w:pPr>
        <w:rPr>
          <w:lang w:val="pl-PL"/>
        </w:rPr>
      </w:pPr>
    </w:p>
    <w:p w14:paraId="2D3A1704" w14:textId="77777777" w:rsidR="00CA5537" w:rsidRPr="00A068B6" w:rsidRDefault="004B02E6">
      <w:pPr>
        <w:rPr>
          <w:rFonts w:ascii="Arial" w:eastAsia="Arial" w:hAnsi="Arial" w:cs="Arial"/>
          <w:b/>
          <w:lang w:val="pl-PL"/>
        </w:rPr>
      </w:pPr>
      <w:r w:rsidRPr="00A068B6">
        <w:rPr>
          <w:rFonts w:ascii="Arial" w:eastAsia="Arial" w:hAnsi="Arial" w:cs="Arial"/>
          <w:b/>
          <w:lang w:val="pl-PL"/>
        </w:rPr>
        <w:t>Czy doświadczanie niszczących powodzi, rozległych pożarów czy rekordowych upałów może wiązać się z tym, jak postrzegane są działania na rzecz klimatu? Czy ludzie w różnych krajach świata łączą te zdarzenia ze zmianami klimatycznymi? Międzynarodowy zespół n</w:t>
      </w:r>
      <w:r w:rsidRPr="00A068B6">
        <w:rPr>
          <w:rFonts w:ascii="Arial" w:eastAsia="Arial" w:hAnsi="Arial" w:cs="Arial"/>
          <w:b/>
          <w:lang w:val="pl-PL"/>
        </w:rPr>
        <w:t xml:space="preserve">aukowców sprawdzał, jak tego rodzaju doświadczenia przekładają się na poparcie dla regulacji klimatycznych na całym świecie, a artykuł na ten temat ukazał się w prestiżowym czasopiśmie „Nature </w:t>
      </w:r>
      <w:proofErr w:type="spellStart"/>
      <w:r w:rsidRPr="00A068B6">
        <w:rPr>
          <w:rFonts w:ascii="Arial" w:eastAsia="Arial" w:hAnsi="Arial" w:cs="Arial"/>
          <w:b/>
          <w:lang w:val="pl-PL"/>
        </w:rPr>
        <w:t>Climate</w:t>
      </w:r>
      <w:proofErr w:type="spellEnd"/>
      <w:r w:rsidRPr="00A068B6">
        <w:rPr>
          <w:rFonts w:ascii="Arial" w:eastAsia="Arial" w:hAnsi="Arial" w:cs="Arial"/>
          <w:b/>
          <w:lang w:val="pl-PL"/>
        </w:rPr>
        <w:t xml:space="preserve"> </w:t>
      </w:r>
      <w:proofErr w:type="spellStart"/>
      <w:r w:rsidRPr="00A068B6">
        <w:rPr>
          <w:rFonts w:ascii="Arial" w:eastAsia="Arial" w:hAnsi="Arial" w:cs="Arial"/>
          <w:b/>
          <w:lang w:val="pl-PL"/>
        </w:rPr>
        <w:t>Change</w:t>
      </w:r>
      <w:proofErr w:type="spellEnd"/>
      <w:r w:rsidRPr="00A068B6">
        <w:rPr>
          <w:rFonts w:ascii="Arial" w:eastAsia="Arial" w:hAnsi="Arial" w:cs="Arial"/>
          <w:b/>
          <w:lang w:val="pl-PL"/>
        </w:rPr>
        <w:t>”.</w:t>
      </w:r>
    </w:p>
    <w:p w14:paraId="2891C1A2" w14:textId="77777777" w:rsidR="00CA5537" w:rsidRPr="00A068B6" w:rsidRDefault="00CA5537">
      <w:pPr>
        <w:rPr>
          <w:rFonts w:ascii="Arial" w:eastAsia="Arial" w:hAnsi="Arial" w:cs="Arial"/>
          <w:b/>
          <w:sz w:val="24"/>
          <w:szCs w:val="24"/>
          <w:lang w:val="pl-PL"/>
        </w:rPr>
      </w:pPr>
    </w:p>
    <w:p w14:paraId="7ABE1AC5" w14:textId="77777777" w:rsidR="00CA5537" w:rsidRPr="00A068B6" w:rsidRDefault="004B02E6">
      <w:pPr>
        <w:spacing w:before="1" w:line="300" w:lineRule="auto"/>
        <w:ind w:left="23" w:right="17"/>
        <w:rPr>
          <w:sz w:val="20"/>
          <w:szCs w:val="20"/>
          <w:lang w:val="pl-PL"/>
        </w:rPr>
      </w:pPr>
      <w:r w:rsidRPr="00A068B6">
        <w:rPr>
          <w:sz w:val="20"/>
          <w:szCs w:val="20"/>
          <w:lang w:val="pl-PL"/>
        </w:rPr>
        <w:t>Międzynarodowy zespół naukowców – w którym pr</w:t>
      </w:r>
      <w:r w:rsidRPr="00A068B6">
        <w:rPr>
          <w:sz w:val="20"/>
          <w:szCs w:val="20"/>
          <w:lang w:val="pl-PL"/>
        </w:rPr>
        <w:t xml:space="preserve">acowali psycholożka społeczna dr Olga Białobrzeska z Wydziału Psychologii w Warszawie Uniwersytetu SWPS i psycholog dr hab. Michał </w:t>
      </w:r>
      <w:proofErr w:type="spellStart"/>
      <w:r w:rsidRPr="00A068B6">
        <w:rPr>
          <w:sz w:val="20"/>
          <w:szCs w:val="20"/>
          <w:lang w:val="pl-PL"/>
        </w:rPr>
        <w:t>Parzuchowski</w:t>
      </w:r>
      <w:proofErr w:type="spellEnd"/>
      <w:r w:rsidRPr="00A068B6">
        <w:rPr>
          <w:sz w:val="20"/>
          <w:szCs w:val="20"/>
          <w:lang w:val="pl-PL"/>
        </w:rPr>
        <w:t>, prof. USWPS z Wydziału Psychologii w Sopocie Uniwersytetu SWPS – badał, w jaki sposób ekstremalne zjawiska pogo</w:t>
      </w:r>
      <w:r w:rsidRPr="00A068B6">
        <w:rPr>
          <w:sz w:val="20"/>
          <w:szCs w:val="20"/>
          <w:lang w:val="pl-PL"/>
        </w:rPr>
        <w:t>dowe i ich związek ze zmianami klimatu wiążą się z poparciem dla szeroko dyskutowanych regulacji klimatycznych w 68 krajach.</w:t>
      </w:r>
    </w:p>
    <w:p w14:paraId="6A15FD3C" w14:textId="77777777" w:rsidR="00CA5537" w:rsidRPr="00A068B6" w:rsidRDefault="00CA5537">
      <w:pPr>
        <w:spacing w:before="1" w:line="300" w:lineRule="auto"/>
        <w:ind w:left="23" w:right="17"/>
        <w:rPr>
          <w:rFonts w:ascii="Arial" w:eastAsia="Arial" w:hAnsi="Arial" w:cs="Arial"/>
          <w:sz w:val="24"/>
          <w:szCs w:val="24"/>
          <w:lang w:val="pl-PL"/>
        </w:rPr>
      </w:pPr>
    </w:p>
    <w:p w14:paraId="68A0E8CC" w14:textId="77777777" w:rsidR="00CA5537" w:rsidRPr="00A068B6" w:rsidRDefault="004B02E6">
      <w:pPr>
        <w:spacing w:before="1" w:line="300" w:lineRule="auto"/>
        <w:ind w:left="23" w:right="17"/>
        <w:rPr>
          <w:rFonts w:ascii="Arial" w:eastAsia="Arial" w:hAnsi="Arial" w:cs="Arial"/>
          <w:b/>
          <w:sz w:val="21"/>
          <w:szCs w:val="21"/>
          <w:highlight w:val="white"/>
          <w:lang w:val="pl-PL"/>
        </w:rPr>
      </w:pPr>
      <w:r w:rsidRPr="00A068B6">
        <w:rPr>
          <w:rFonts w:ascii="Arial" w:eastAsia="Arial" w:hAnsi="Arial" w:cs="Arial"/>
          <w:b/>
          <w:sz w:val="21"/>
          <w:szCs w:val="21"/>
          <w:highlight w:val="white"/>
          <w:lang w:val="pl-PL"/>
        </w:rPr>
        <w:t>Ekstremalne zjawiska pogodowe i ich wysokie koszty</w:t>
      </w:r>
    </w:p>
    <w:p w14:paraId="000FB992"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t xml:space="preserve">Zmiany klimatyczne nasilają częstotliwość i intensywność ekstremalnych zjawisk </w:t>
      </w:r>
      <w:r w:rsidRPr="00A068B6">
        <w:rPr>
          <w:sz w:val="20"/>
          <w:szCs w:val="20"/>
          <w:lang w:val="pl-PL"/>
        </w:rPr>
        <w:t xml:space="preserve">pogodowych (czyli takich, które rzadko zdarzają się w danym miejscu i porze roku). Takie zjawiska oznaczają ogromne koszty, szacuje się je na 143 mld dolarów rocznie. Skutki intensywnych zjawisk atmosferycznych związanych ze zmianami klimatu są najsilniej </w:t>
      </w:r>
      <w:r w:rsidRPr="00A068B6">
        <w:rPr>
          <w:sz w:val="20"/>
          <w:szCs w:val="20"/>
          <w:lang w:val="pl-PL"/>
        </w:rPr>
        <w:t xml:space="preserve">odczuwane w krajach Globalnego Południa, jakimi określane są mniej zamożne państwa Afryki, Azji, Ameryki Łacińskiej i Bliskiego Wschodu. </w:t>
      </w:r>
    </w:p>
    <w:p w14:paraId="764ED93F" w14:textId="77777777" w:rsidR="00CA5537" w:rsidRPr="00A068B6" w:rsidRDefault="00CA5537">
      <w:pPr>
        <w:pBdr>
          <w:top w:val="nil"/>
          <w:left w:val="nil"/>
          <w:bottom w:val="nil"/>
          <w:right w:val="nil"/>
          <w:between w:val="nil"/>
        </w:pBdr>
        <w:spacing w:before="1" w:line="300" w:lineRule="auto"/>
        <w:ind w:left="23" w:right="17"/>
        <w:rPr>
          <w:sz w:val="20"/>
          <w:szCs w:val="20"/>
          <w:lang w:val="pl-PL"/>
        </w:rPr>
      </w:pPr>
    </w:p>
    <w:p w14:paraId="49F14378"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t>Światowe starania na rzecz spowolnienia zmian klimatu i łagodzenia wpływu ekstremalnych zjawisk wciąż są niewystarcza</w:t>
      </w:r>
      <w:r w:rsidRPr="00A068B6">
        <w:rPr>
          <w:sz w:val="20"/>
          <w:szCs w:val="20"/>
          <w:lang w:val="pl-PL"/>
        </w:rPr>
        <w:t xml:space="preserve">jące, dlatego eksperci zgadzają się, że konieczne są bardziej restrykcyjne regulacje klimatyczne. Wiele jednak zależy od społecznego poparcia dla polityki klimatycznej, gdyż wtedy istnieje większa szansa, że decydenci będą podejmowali stosowne działania w </w:t>
      </w:r>
      <w:r w:rsidRPr="00A068B6">
        <w:rPr>
          <w:sz w:val="20"/>
          <w:szCs w:val="20"/>
          <w:lang w:val="pl-PL"/>
        </w:rPr>
        <w:t xml:space="preserve">tym kierunku. </w:t>
      </w:r>
    </w:p>
    <w:p w14:paraId="47B62457" w14:textId="77777777" w:rsidR="00CA5537" w:rsidRPr="00A068B6" w:rsidRDefault="00CA5537">
      <w:pPr>
        <w:pBdr>
          <w:top w:val="nil"/>
          <w:left w:val="nil"/>
          <w:bottom w:val="nil"/>
          <w:right w:val="nil"/>
          <w:between w:val="nil"/>
        </w:pBdr>
        <w:spacing w:before="1" w:line="300" w:lineRule="auto"/>
        <w:ind w:left="23" w:right="17"/>
        <w:rPr>
          <w:sz w:val="20"/>
          <w:szCs w:val="20"/>
          <w:lang w:val="pl-PL"/>
        </w:rPr>
      </w:pPr>
    </w:p>
    <w:p w14:paraId="319CFDF7"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lastRenderedPageBreak/>
        <w:t>Dotychczasowe badania dotyczące związku między doświadczaniem ekstremalnych zjawisk oraz przekonań na temat zmian klimatycznych nie dają jednoznacznych wniosków. Niektóre z nich dowodzą, że stykanie się z takimi zdarzeniami wzmacnia wiarę w</w:t>
      </w:r>
      <w:r w:rsidRPr="00A068B6">
        <w:rPr>
          <w:sz w:val="20"/>
          <w:szCs w:val="20"/>
          <w:lang w:val="pl-PL"/>
        </w:rPr>
        <w:t xml:space="preserve"> zmiany klimatu</w:t>
      </w:r>
      <w:r w:rsidRPr="00A068B6">
        <w:rPr>
          <w:sz w:val="20"/>
          <w:szCs w:val="20"/>
          <w:vertAlign w:val="superscript"/>
          <w:lang w:val="pl-PL"/>
        </w:rPr>
        <w:footnoteReference w:id="1"/>
      </w:r>
      <w:r w:rsidRPr="00A068B6">
        <w:rPr>
          <w:sz w:val="20"/>
          <w:szCs w:val="20"/>
          <w:lang w:val="pl-PL"/>
        </w:rPr>
        <w:t xml:space="preserve"> i obawy</w:t>
      </w:r>
      <w:r w:rsidRPr="00A068B6">
        <w:rPr>
          <w:sz w:val="20"/>
          <w:szCs w:val="20"/>
          <w:vertAlign w:val="superscript"/>
          <w:lang w:val="pl-PL"/>
        </w:rPr>
        <w:footnoteReference w:id="2"/>
      </w:r>
      <w:r w:rsidRPr="00A068B6">
        <w:rPr>
          <w:sz w:val="20"/>
          <w:szCs w:val="20"/>
          <w:lang w:val="pl-PL"/>
        </w:rPr>
        <w:t>, a także poparcie dla regulacji klimatycznych</w:t>
      </w:r>
      <w:r w:rsidRPr="00A068B6">
        <w:rPr>
          <w:sz w:val="20"/>
          <w:szCs w:val="20"/>
          <w:vertAlign w:val="superscript"/>
          <w:lang w:val="pl-PL"/>
        </w:rPr>
        <w:footnoteReference w:id="3"/>
      </w:r>
      <w:r w:rsidRPr="00A068B6">
        <w:rPr>
          <w:sz w:val="20"/>
          <w:szCs w:val="20"/>
          <w:lang w:val="pl-PL"/>
        </w:rPr>
        <w:t>, natomiast inne takiego związku nie wykazują</w:t>
      </w:r>
      <w:r w:rsidRPr="00A068B6">
        <w:rPr>
          <w:sz w:val="20"/>
          <w:szCs w:val="20"/>
          <w:vertAlign w:val="superscript"/>
          <w:lang w:val="pl-PL"/>
        </w:rPr>
        <w:footnoteReference w:id="4"/>
      </w:r>
      <w:r w:rsidRPr="00A068B6">
        <w:rPr>
          <w:sz w:val="20"/>
          <w:szCs w:val="20"/>
          <w:lang w:val="pl-PL"/>
        </w:rPr>
        <w:t xml:space="preserve">. </w:t>
      </w:r>
    </w:p>
    <w:p w14:paraId="6EC7B6D5" w14:textId="77777777" w:rsidR="00CA5537" w:rsidRPr="00A068B6" w:rsidRDefault="00CA5537">
      <w:pPr>
        <w:pBdr>
          <w:top w:val="nil"/>
          <w:left w:val="nil"/>
          <w:bottom w:val="nil"/>
          <w:right w:val="nil"/>
          <w:between w:val="nil"/>
        </w:pBdr>
        <w:spacing w:before="1" w:line="300" w:lineRule="auto"/>
        <w:ind w:left="23" w:right="17"/>
        <w:rPr>
          <w:sz w:val="20"/>
          <w:szCs w:val="20"/>
          <w:lang w:val="pl-PL"/>
        </w:rPr>
      </w:pPr>
    </w:p>
    <w:p w14:paraId="7EBDFBDE"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t>Istotny jest tutaj też fakt, czy ludzie przypisują występowanie tego typu zjawisk zmianom klimatycznym. Ostatnie badania wykazały,</w:t>
      </w:r>
      <w:r w:rsidRPr="00A068B6">
        <w:rPr>
          <w:sz w:val="20"/>
          <w:szCs w:val="20"/>
          <w:lang w:val="pl-PL"/>
        </w:rPr>
        <w:t xml:space="preserve"> że osoby o takim przekonaniu częściej odbierają zmiany klimatu jako ryzyko i angażują się w działania na rzecz ich łagodzenia.</w:t>
      </w:r>
    </w:p>
    <w:p w14:paraId="59746277" w14:textId="77777777" w:rsidR="00CA5537" w:rsidRPr="00A068B6" w:rsidRDefault="00CA5537">
      <w:pPr>
        <w:spacing w:before="1" w:line="300" w:lineRule="auto"/>
        <w:ind w:left="23" w:right="17"/>
        <w:rPr>
          <w:rFonts w:ascii="Arial" w:eastAsia="Arial" w:hAnsi="Arial" w:cs="Arial"/>
          <w:sz w:val="24"/>
          <w:szCs w:val="24"/>
          <w:lang w:val="pl-PL"/>
        </w:rPr>
      </w:pPr>
    </w:p>
    <w:p w14:paraId="60F261F2" w14:textId="77777777" w:rsidR="00CA5537" w:rsidRPr="00A068B6" w:rsidRDefault="004B02E6">
      <w:pPr>
        <w:spacing w:before="1" w:line="300" w:lineRule="auto"/>
        <w:ind w:left="23" w:right="17"/>
        <w:rPr>
          <w:rFonts w:ascii="Arial" w:eastAsia="Arial" w:hAnsi="Arial" w:cs="Arial"/>
          <w:sz w:val="24"/>
          <w:szCs w:val="24"/>
          <w:lang w:val="pl-PL"/>
        </w:rPr>
      </w:pPr>
      <w:r w:rsidRPr="00A068B6">
        <w:rPr>
          <w:rFonts w:ascii="Arial" w:eastAsia="Arial" w:hAnsi="Arial" w:cs="Arial"/>
          <w:b/>
          <w:sz w:val="21"/>
          <w:szCs w:val="21"/>
          <w:highlight w:val="white"/>
          <w:lang w:val="pl-PL"/>
        </w:rPr>
        <w:t>Jak postrzegane są ekstremalne zjawiska?</w:t>
      </w:r>
    </w:p>
    <w:p w14:paraId="4DA45E46"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t>W najnowszym badaniu naukowcy zestawili dane dotyczące narażonych populacji, obliczone za pomocą platformy modelowania ryzyka CLIMADA, z wynikami globalnych badań ankietowych dotyczących postrzegania ekstremalnych zjawisk pogodowych i poparcia dla polityki</w:t>
      </w:r>
      <w:r w:rsidRPr="00A068B6">
        <w:rPr>
          <w:sz w:val="20"/>
          <w:szCs w:val="20"/>
          <w:lang w:val="pl-PL"/>
        </w:rPr>
        <w:t xml:space="preserve"> klimatycznej, zebranych w badaniu “Trust in Science and Science-</w:t>
      </w:r>
      <w:proofErr w:type="spellStart"/>
      <w:r w:rsidRPr="00A068B6">
        <w:rPr>
          <w:sz w:val="20"/>
          <w:szCs w:val="20"/>
          <w:lang w:val="pl-PL"/>
        </w:rPr>
        <w:t>related</w:t>
      </w:r>
      <w:proofErr w:type="spellEnd"/>
      <w:r w:rsidRPr="00A068B6">
        <w:rPr>
          <w:sz w:val="20"/>
          <w:szCs w:val="20"/>
          <w:lang w:val="pl-PL"/>
        </w:rPr>
        <w:t xml:space="preserve"> </w:t>
      </w:r>
      <w:proofErr w:type="spellStart"/>
      <w:r w:rsidRPr="00A068B6">
        <w:rPr>
          <w:sz w:val="20"/>
          <w:szCs w:val="20"/>
          <w:lang w:val="pl-PL"/>
        </w:rPr>
        <w:t>Populism</w:t>
      </w:r>
      <w:proofErr w:type="spellEnd"/>
      <w:r w:rsidRPr="00A068B6">
        <w:rPr>
          <w:sz w:val="20"/>
          <w:szCs w:val="20"/>
          <w:lang w:val="pl-PL"/>
        </w:rPr>
        <w:t>” (TISP). Pod uwagę wzięli 68 krajów.</w:t>
      </w:r>
    </w:p>
    <w:p w14:paraId="35C189B5" w14:textId="77777777" w:rsidR="00CA5537" w:rsidRPr="00A068B6" w:rsidRDefault="00CA5537">
      <w:pPr>
        <w:pBdr>
          <w:top w:val="nil"/>
          <w:left w:val="nil"/>
          <w:bottom w:val="nil"/>
          <w:right w:val="nil"/>
          <w:between w:val="nil"/>
        </w:pBdr>
        <w:spacing w:before="1" w:line="300" w:lineRule="auto"/>
        <w:ind w:left="23" w:right="17"/>
        <w:rPr>
          <w:sz w:val="20"/>
          <w:szCs w:val="20"/>
          <w:lang w:val="pl-PL"/>
        </w:rPr>
      </w:pPr>
    </w:p>
    <w:p w14:paraId="5CCCBC45"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t>Analizowano, czy to, że ludzie popierają regulacje klimatyczne, ma związek z faktem, że doświadczyli gwałtownych zjawisk atmosferycznych</w:t>
      </w:r>
      <w:r w:rsidRPr="00A068B6">
        <w:rPr>
          <w:sz w:val="20"/>
          <w:szCs w:val="20"/>
          <w:lang w:val="pl-PL"/>
        </w:rPr>
        <w:t>, ale też czy mają poczucie, że zdarzenia te wynikają ze zmian klimatu. Sprawdzano też, jaki jest poziom poparcia dla polityk klimatycznych w różnych krajach i do jakiego stopnia ich mieszkańcy przypisują występowanie ekstremalnych zjawisk zmianom klimatyc</w:t>
      </w:r>
      <w:r w:rsidRPr="00A068B6">
        <w:rPr>
          <w:sz w:val="20"/>
          <w:szCs w:val="20"/>
          <w:lang w:val="pl-PL"/>
        </w:rPr>
        <w:t>znym i czy ma to związek z poparciem dla regulacji.</w:t>
      </w:r>
    </w:p>
    <w:p w14:paraId="355F82E7" w14:textId="77777777" w:rsidR="00CA5537" w:rsidRPr="00A068B6" w:rsidRDefault="00CA5537">
      <w:pPr>
        <w:spacing w:before="1" w:line="300" w:lineRule="auto"/>
        <w:ind w:left="23" w:right="17"/>
        <w:rPr>
          <w:rFonts w:ascii="Arial" w:eastAsia="Arial" w:hAnsi="Arial" w:cs="Arial"/>
          <w:sz w:val="24"/>
          <w:szCs w:val="24"/>
          <w:lang w:val="pl-PL"/>
        </w:rPr>
      </w:pPr>
    </w:p>
    <w:p w14:paraId="2C2D979C"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lastRenderedPageBreak/>
        <w:t xml:space="preserve">Badanie wykazało, że znaczna część respondentów popiera regulacje klimatyczne </w:t>
      </w:r>
      <w:r w:rsidRPr="00A068B6">
        <w:rPr>
          <w:sz w:val="20"/>
          <w:szCs w:val="20"/>
          <w:lang w:val="pl-PL"/>
        </w:rPr>
        <w:t xml:space="preserve"> i łączy gwałtowne zjawiska atmosferyczne ze zmianami klimatu. Główne odkrycie badania jest zaskakujące: wyznacznikiem poparcia dla przepisów klimatycznych nie było samo narażenie na zjawiska pogodowe, ale właśnie osobiste przekonania o przyczynach tych zd</w:t>
      </w:r>
      <w:r w:rsidRPr="00A068B6">
        <w:rPr>
          <w:sz w:val="20"/>
          <w:szCs w:val="20"/>
          <w:lang w:val="pl-PL"/>
        </w:rPr>
        <w:t xml:space="preserve">arzeń. </w:t>
      </w:r>
    </w:p>
    <w:p w14:paraId="6C1DFE48" w14:textId="77777777" w:rsidR="00CA5537" w:rsidRPr="00A068B6" w:rsidRDefault="00CA5537">
      <w:pPr>
        <w:pBdr>
          <w:top w:val="nil"/>
          <w:left w:val="nil"/>
          <w:bottom w:val="nil"/>
          <w:right w:val="nil"/>
          <w:between w:val="nil"/>
        </w:pBdr>
        <w:spacing w:before="1" w:line="300" w:lineRule="auto"/>
        <w:ind w:left="23" w:right="17"/>
        <w:rPr>
          <w:sz w:val="20"/>
          <w:szCs w:val="20"/>
          <w:lang w:val="pl-PL"/>
        </w:rPr>
      </w:pPr>
    </w:p>
    <w:p w14:paraId="55B0FC5A"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t>Dostrzeganiu powiązań między zjawiskami i zmianami klimatycznymi towarzyszyło wyższe poparcie dla pięciu szeroko dyskutowanych polityk klimatycznych: zwiększania podatków na żywność, której produkcja wiąże się z dużą emisją dwutlenku węgla (jak wo</w:t>
      </w:r>
      <w:r w:rsidRPr="00A068B6">
        <w:rPr>
          <w:sz w:val="20"/>
          <w:szCs w:val="20"/>
          <w:lang w:val="pl-PL"/>
        </w:rPr>
        <w:t xml:space="preserve">łowina czy nabiał); podnoszenia podatków na paliwa kopalne (ropa, węgiel); rozwijania transportu miejskiego; intensyfikacja wykorzystania odnawialnej energii; ochrona obszarów leśnych i lądowych. </w:t>
      </w:r>
    </w:p>
    <w:p w14:paraId="01CDEDA1" w14:textId="77777777" w:rsidR="00CA5537" w:rsidRPr="00A068B6" w:rsidRDefault="00CA5537">
      <w:pPr>
        <w:pBdr>
          <w:top w:val="nil"/>
          <w:left w:val="nil"/>
          <w:bottom w:val="nil"/>
          <w:right w:val="nil"/>
          <w:between w:val="nil"/>
        </w:pBdr>
        <w:spacing w:before="1" w:line="300" w:lineRule="auto"/>
        <w:ind w:left="23" w:right="17"/>
        <w:rPr>
          <w:sz w:val="20"/>
          <w:szCs w:val="20"/>
          <w:lang w:val="pl-PL"/>
        </w:rPr>
      </w:pPr>
    </w:p>
    <w:p w14:paraId="5421E04D"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t>Wyniki badania sugerują znaczące różnice w społecznym popa</w:t>
      </w:r>
      <w:r w:rsidRPr="00A068B6">
        <w:rPr>
          <w:sz w:val="20"/>
          <w:szCs w:val="20"/>
          <w:lang w:val="pl-PL"/>
        </w:rPr>
        <w:t>rciu w zależności od rodzaju działania klimatycznego. Zgodnie z dotychczasową wiedzą naukową zwiększanie podatków węglowych ma najniższe poparcie (tylko 22 proc. osób odpowiedziało, że zdecydowanie popiera podatek na żywność, a 29 proc. na paliwa kopalne).</w:t>
      </w:r>
      <w:r w:rsidRPr="00A068B6">
        <w:rPr>
          <w:sz w:val="20"/>
          <w:szCs w:val="20"/>
          <w:lang w:val="pl-PL"/>
        </w:rPr>
        <w:t xml:space="preserve"> Z kolei najbardziej akceptowanym działaniem klimatycznym okazała się kwestia ochrony lasów, którą popiera aż 82 proc. ankietowanych.</w:t>
      </w:r>
    </w:p>
    <w:p w14:paraId="32A6C743" w14:textId="77777777" w:rsidR="00CA5537" w:rsidRPr="00A068B6" w:rsidRDefault="00CA5537">
      <w:pPr>
        <w:pBdr>
          <w:top w:val="nil"/>
          <w:left w:val="nil"/>
          <w:bottom w:val="nil"/>
          <w:right w:val="nil"/>
          <w:between w:val="nil"/>
        </w:pBdr>
        <w:spacing w:before="1" w:line="300" w:lineRule="auto"/>
        <w:ind w:left="23" w:right="17"/>
        <w:rPr>
          <w:sz w:val="20"/>
          <w:szCs w:val="20"/>
          <w:lang w:val="pl-PL"/>
        </w:rPr>
      </w:pPr>
    </w:p>
    <w:p w14:paraId="4337254A"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t>Poparcie dla regulacji klimatycznych różni się znacząco między krajami. Najwyższe odnotowano w krajach afrykańskich i azj</w:t>
      </w:r>
      <w:r w:rsidRPr="00A068B6">
        <w:rPr>
          <w:sz w:val="20"/>
          <w:szCs w:val="20"/>
          <w:lang w:val="pl-PL"/>
        </w:rPr>
        <w:t>atyckich, średnie w Australii, Kostaryce i Wielkiej Brytanii. Polska znalazła się nieco poniżej światowej średniej, natomiast listę zamykają Rosja oraz Czechy. Swoje poparcie dla polityki klimatycznej wyrażali częściej młodzi mężczyźni, bardziej religijni,</w:t>
      </w:r>
      <w:r w:rsidRPr="00A068B6">
        <w:rPr>
          <w:sz w:val="20"/>
          <w:szCs w:val="20"/>
          <w:lang w:val="pl-PL"/>
        </w:rPr>
        <w:t xml:space="preserve"> z wyższym wykształceniem i bardziej zamożni, mieszkający w miastach. </w:t>
      </w:r>
    </w:p>
    <w:p w14:paraId="359E5A74" w14:textId="77777777" w:rsidR="00CA5537" w:rsidRPr="00A068B6" w:rsidRDefault="00CA5537">
      <w:pPr>
        <w:spacing w:before="1" w:line="300" w:lineRule="auto"/>
        <w:ind w:left="23" w:right="17"/>
        <w:rPr>
          <w:rFonts w:ascii="Arial" w:eastAsia="Arial" w:hAnsi="Arial" w:cs="Arial"/>
          <w:sz w:val="24"/>
          <w:szCs w:val="24"/>
          <w:lang w:val="pl-PL"/>
        </w:rPr>
      </w:pPr>
    </w:p>
    <w:p w14:paraId="1700F46D" w14:textId="77777777" w:rsidR="00CA5537" w:rsidRPr="00A068B6" w:rsidRDefault="004B02E6">
      <w:pPr>
        <w:pBdr>
          <w:top w:val="nil"/>
          <w:left w:val="nil"/>
          <w:bottom w:val="nil"/>
          <w:right w:val="nil"/>
          <w:between w:val="nil"/>
        </w:pBdr>
        <w:spacing w:before="1" w:line="300" w:lineRule="auto"/>
        <w:ind w:left="23" w:right="17"/>
        <w:rPr>
          <w:sz w:val="20"/>
          <w:szCs w:val="20"/>
          <w:lang w:val="pl-PL"/>
        </w:rPr>
      </w:pPr>
      <w:r w:rsidRPr="00A068B6">
        <w:rPr>
          <w:sz w:val="20"/>
          <w:szCs w:val="20"/>
          <w:lang w:val="pl-PL"/>
        </w:rPr>
        <w:t>– Nasze badania dostarczają jednocześnie dowodów, że samo doświadczanie ekstremalnych zjawisk pogodowych, takich jak burze, fale upałów czy huragany, niekoniecznie zwiększa poparcie dl</w:t>
      </w:r>
      <w:r w:rsidRPr="00A068B6">
        <w:rPr>
          <w:sz w:val="20"/>
          <w:szCs w:val="20"/>
          <w:lang w:val="pl-PL"/>
        </w:rPr>
        <w:t>a polityki klimatycznej, jednak szczególnie istotne dla naszych badanych było subiektywne powiązanie tych zdarzeń ze zmianami klimatu. Gdy ludzie widzą w tych zjawiskach efekt globalnego ocieplenia, ich poparcie dla działań na rzecz klimatu rośnie, niezale</w:t>
      </w:r>
      <w:r w:rsidRPr="00A068B6">
        <w:rPr>
          <w:sz w:val="20"/>
          <w:szCs w:val="20"/>
          <w:lang w:val="pl-PL"/>
        </w:rPr>
        <w:t xml:space="preserve">żnie od częstotliwości takich </w:t>
      </w:r>
      <w:r w:rsidRPr="00A068B6">
        <w:rPr>
          <w:sz w:val="20"/>
          <w:szCs w:val="20"/>
          <w:lang w:val="pl-PL"/>
        </w:rPr>
        <w:lastRenderedPageBreak/>
        <w:t xml:space="preserve">zdarzeń. Co więcej, możliwe jest również, że osoby już wspierające politykę klimatyczną są bardziej skłonne przypisywać ekstremalne zjawiska zmianom klimatu. Potrzebne są jednak dalsze badania </w:t>
      </w:r>
      <w:proofErr w:type="spellStart"/>
      <w:r w:rsidRPr="00A068B6">
        <w:rPr>
          <w:sz w:val="20"/>
          <w:szCs w:val="20"/>
          <w:lang w:val="pl-PL"/>
        </w:rPr>
        <w:t>longitudinalne</w:t>
      </w:r>
      <w:proofErr w:type="spellEnd"/>
      <w:r w:rsidRPr="00A068B6">
        <w:rPr>
          <w:sz w:val="20"/>
          <w:szCs w:val="20"/>
          <w:lang w:val="pl-PL"/>
        </w:rPr>
        <w:t>, aby lepiej zrozum</w:t>
      </w:r>
      <w:r w:rsidRPr="00A068B6">
        <w:rPr>
          <w:sz w:val="20"/>
          <w:szCs w:val="20"/>
          <w:lang w:val="pl-PL"/>
        </w:rPr>
        <w:t xml:space="preserve">ieć kierunek przyczynowości tej zależności – podkreśla prof. </w:t>
      </w:r>
      <w:proofErr w:type="spellStart"/>
      <w:r w:rsidRPr="00A068B6">
        <w:rPr>
          <w:sz w:val="20"/>
          <w:szCs w:val="20"/>
          <w:lang w:val="pl-PL"/>
        </w:rPr>
        <w:t>Parzuchowski</w:t>
      </w:r>
      <w:proofErr w:type="spellEnd"/>
      <w:r w:rsidRPr="00A068B6">
        <w:rPr>
          <w:sz w:val="20"/>
          <w:szCs w:val="20"/>
          <w:lang w:val="pl-PL"/>
        </w:rPr>
        <w:t xml:space="preserve"> z Uniwersytetu SWPS.</w:t>
      </w:r>
    </w:p>
    <w:p w14:paraId="1AADBCBC" w14:textId="77777777" w:rsidR="00CA5537" w:rsidRPr="00A068B6" w:rsidRDefault="00CA5537">
      <w:pPr>
        <w:pBdr>
          <w:top w:val="nil"/>
          <w:left w:val="nil"/>
          <w:bottom w:val="nil"/>
          <w:right w:val="nil"/>
          <w:between w:val="nil"/>
        </w:pBdr>
        <w:spacing w:before="1" w:line="300" w:lineRule="auto"/>
        <w:ind w:left="23" w:right="17"/>
        <w:rPr>
          <w:sz w:val="20"/>
          <w:szCs w:val="20"/>
          <w:lang w:val="pl-PL"/>
        </w:rPr>
      </w:pPr>
    </w:p>
    <w:p w14:paraId="162E488C" w14:textId="77777777" w:rsidR="00CA5537" w:rsidRPr="00A068B6" w:rsidRDefault="004B02E6">
      <w:pPr>
        <w:spacing w:before="1" w:line="300" w:lineRule="auto"/>
        <w:ind w:left="23" w:right="17"/>
        <w:rPr>
          <w:sz w:val="20"/>
          <w:szCs w:val="20"/>
          <w:lang w:val="pl-PL"/>
        </w:rPr>
      </w:pPr>
      <w:r w:rsidRPr="00A068B6">
        <w:rPr>
          <w:sz w:val="20"/>
          <w:szCs w:val="20"/>
          <w:lang w:val="pl-PL"/>
        </w:rPr>
        <w:t>Artykuł „</w:t>
      </w:r>
      <w:hyperlink r:id="rId7">
        <w:r w:rsidRPr="00A068B6">
          <w:rPr>
            <w:color w:val="1155CC"/>
            <w:sz w:val="20"/>
            <w:szCs w:val="20"/>
            <w:u w:val="single"/>
            <w:lang w:val="pl-PL"/>
          </w:rPr>
          <w:t xml:space="preserve">Extreme </w:t>
        </w:r>
        <w:proofErr w:type="spellStart"/>
        <w:r w:rsidRPr="00A068B6">
          <w:rPr>
            <w:color w:val="1155CC"/>
            <w:sz w:val="20"/>
            <w:szCs w:val="20"/>
            <w:u w:val="single"/>
            <w:lang w:val="pl-PL"/>
          </w:rPr>
          <w:t>weather</w:t>
        </w:r>
        <w:proofErr w:type="spellEnd"/>
        <w:r w:rsidRPr="00A068B6">
          <w:rPr>
            <w:color w:val="1155CC"/>
            <w:sz w:val="20"/>
            <w:szCs w:val="20"/>
            <w:u w:val="single"/>
            <w:lang w:val="pl-PL"/>
          </w:rPr>
          <w:t xml:space="preserve"> event </w:t>
        </w:r>
        <w:proofErr w:type="spellStart"/>
        <w:r w:rsidRPr="00A068B6">
          <w:rPr>
            <w:color w:val="1155CC"/>
            <w:sz w:val="20"/>
            <w:szCs w:val="20"/>
            <w:u w:val="single"/>
            <w:lang w:val="pl-PL"/>
          </w:rPr>
          <w:t>attribution</w:t>
        </w:r>
        <w:proofErr w:type="spellEnd"/>
        <w:r w:rsidRPr="00A068B6">
          <w:rPr>
            <w:color w:val="1155CC"/>
            <w:sz w:val="20"/>
            <w:szCs w:val="20"/>
            <w:u w:val="single"/>
            <w:lang w:val="pl-PL"/>
          </w:rPr>
          <w:t xml:space="preserve"> </w:t>
        </w:r>
        <w:proofErr w:type="spellStart"/>
        <w:r w:rsidRPr="00A068B6">
          <w:rPr>
            <w:color w:val="1155CC"/>
            <w:sz w:val="20"/>
            <w:szCs w:val="20"/>
            <w:u w:val="single"/>
            <w:lang w:val="pl-PL"/>
          </w:rPr>
          <w:t>predicts</w:t>
        </w:r>
        <w:proofErr w:type="spellEnd"/>
        <w:r w:rsidRPr="00A068B6">
          <w:rPr>
            <w:color w:val="1155CC"/>
            <w:sz w:val="20"/>
            <w:szCs w:val="20"/>
            <w:u w:val="single"/>
            <w:lang w:val="pl-PL"/>
          </w:rPr>
          <w:t xml:space="preserve"> </w:t>
        </w:r>
        <w:proofErr w:type="spellStart"/>
        <w:r w:rsidRPr="00A068B6">
          <w:rPr>
            <w:color w:val="1155CC"/>
            <w:sz w:val="20"/>
            <w:szCs w:val="20"/>
            <w:u w:val="single"/>
            <w:lang w:val="pl-PL"/>
          </w:rPr>
          <w:t>climate</w:t>
        </w:r>
        <w:proofErr w:type="spellEnd"/>
        <w:r w:rsidRPr="00A068B6">
          <w:rPr>
            <w:color w:val="1155CC"/>
            <w:sz w:val="20"/>
            <w:szCs w:val="20"/>
            <w:u w:val="single"/>
            <w:lang w:val="pl-PL"/>
          </w:rPr>
          <w:t xml:space="preserve"> policy </w:t>
        </w:r>
        <w:proofErr w:type="spellStart"/>
        <w:r w:rsidRPr="00A068B6">
          <w:rPr>
            <w:color w:val="1155CC"/>
            <w:sz w:val="20"/>
            <w:szCs w:val="20"/>
            <w:u w:val="single"/>
            <w:lang w:val="pl-PL"/>
          </w:rPr>
          <w:t>support</w:t>
        </w:r>
        <w:proofErr w:type="spellEnd"/>
        <w:r w:rsidRPr="00A068B6">
          <w:rPr>
            <w:color w:val="1155CC"/>
            <w:sz w:val="20"/>
            <w:szCs w:val="20"/>
            <w:u w:val="single"/>
            <w:lang w:val="pl-PL"/>
          </w:rPr>
          <w:t xml:space="preserve"> </w:t>
        </w:r>
        <w:proofErr w:type="spellStart"/>
        <w:r w:rsidRPr="00A068B6">
          <w:rPr>
            <w:color w:val="1155CC"/>
            <w:sz w:val="20"/>
            <w:szCs w:val="20"/>
            <w:u w:val="single"/>
            <w:lang w:val="pl-PL"/>
          </w:rPr>
          <w:t>across</w:t>
        </w:r>
        <w:proofErr w:type="spellEnd"/>
        <w:r w:rsidRPr="00A068B6">
          <w:rPr>
            <w:color w:val="1155CC"/>
            <w:sz w:val="20"/>
            <w:szCs w:val="20"/>
            <w:u w:val="single"/>
            <w:lang w:val="pl-PL"/>
          </w:rPr>
          <w:t xml:space="preserve"> the </w:t>
        </w:r>
        <w:proofErr w:type="spellStart"/>
        <w:r w:rsidRPr="00A068B6">
          <w:rPr>
            <w:color w:val="1155CC"/>
            <w:sz w:val="20"/>
            <w:szCs w:val="20"/>
            <w:u w:val="single"/>
            <w:lang w:val="pl-PL"/>
          </w:rPr>
          <w:t>worl</w:t>
        </w:r>
        <w:r w:rsidRPr="00A068B6">
          <w:rPr>
            <w:color w:val="1155CC"/>
            <w:sz w:val="20"/>
            <w:szCs w:val="20"/>
            <w:u w:val="single"/>
            <w:lang w:val="pl-PL"/>
          </w:rPr>
          <w:t>d</w:t>
        </w:r>
        <w:proofErr w:type="spellEnd"/>
      </w:hyperlink>
      <w:r w:rsidRPr="00A068B6">
        <w:rPr>
          <w:sz w:val="20"/>
          <w:szCs w:val="20"/>
          <w:lang w:val="pl-PL"/>
        </w:rPr>
        <w:t>” został opublikowany na łamach „</w:t>
      </w:r>
      <w:r w:rsidRPr="00A068B6">
        <w:rPr>
          <w:i/>
          <w:sz w:val="20"/>
          <w:szCs w:val="20"/>
          <w:lang w:val="pl-PL"/>
        </w:rPr>
        <w:t xml:space="preserve">Nature </w:t>
      </w:r>
      <w:proofErr w:type="spellStart"/>
      <w:r w:rsidRPr="00A068B6">
        <w:rPr>
          <w:i/>
          <w:sz w:val="20"/>
          <w:szCs w:val="20"/>
          <w:lang w:val="pl-PL"/>
        </w:rPr>
        <w:t>Climate</w:t>
      </w:r>
      <w:proofErr w:type="spellEnd"/>
      <w:r w:rsidRPr="00A068B6">
        <w:rPr>
          <w:i/>
          <w:sz w:val="20"/>
          <w:szCs w:val="20"/>
          <w:lang w:val="pl-PL"/>
        </w:rPr>
        <w:t xml:space="preserve"> </w:t>
      </w:r>
      <w:proofErr w:type="spellStart"/>
      <w:r w:rsidRPr="00A068B6">
        <w:rPr>
          <w:i/>
          <w:sz w:val="20"/>
          <w:szCs w:val="20"/>
          <w:lang w:val="pl-PL"/>
        </w:rPr>
        <w:t>Change</w:t>
      </w:r>
      <w:proofErr w:type="spellEnd"/>
      <w:r w:rsidRPr="00A068B6">
        <w:rPr>
          <w:sz w:val="20"/>
          <w:szCs w:val="20"/>
          <w:lang w:val="pl-PL"/>
        </w:rPr>
        <w:t>”.</w:t>
      </w:r>
    </w:p>
    <w:p w14:paraId="08A1EAF2" w14:textId="77777777" w:rsidR="00CA5537" w:rsidRPr="00A068B6" w:rsidRDefault="00CA5537">
      <w:pPr>
        <w:spacing w:before="1" w:line="300" w:lineRule="auto"/>
        <w:ind w:left="23" w:right="17"/>
        <w:rPr>
          <w:rFonts w:ascii="Arial" w:eastAsia="Arial" w:hAnsi="Arial" w:cs="Arial"/>
          <w:sz w:val="24"/>
          <w:szCs w:val="24"/>
          <w:lang w:val="pl-PL"/>
        </w:rPr>
      </w:pPr>
    </w:p>
    <w:p w14:paraId="46BEEF59" w14:textId="77777777" w:rsidR="00CA5537" w:rsidRPr="00A068B6" w:rsidRDefault="00CA5537">
      <w:pPr>
        <w:pBdr>
          <w:top w:val="nil"/>
          <w:left w:val="nil"/>
          <w:bottom w:val="nil"/>
          <w:right w:val="nil"/>
          <w:between w:val="nil"/>
        </w:pBdr>
        <w:spacing w:before="1" w:line="300" w:lineRule="auto"/>
        <w:ind w:left="23" w:right="17"/>
        <w:rPr>
          <w:sz w:val="20"/>
          <w:szCs w:val="20"/>
          <w:lang w:val="pl-PL"/>
        </w:rPr>
      </w:pPr>
    </w:p>
    <w:p w14:paraId="25F11455" w14:textId="77777777" w:rsidR="00CA5537" w:rsidRPr="00A068B6" w:rsidRDefault="004B02E6">
      <w:pPr>
        <w:widowControl/>
        <w:spacing w:line="276" w:lineRule="auto"/>
        <w:rPr>
          <w:b/>
          <w:sz w:val="20"/>
          <w:szCs w:val="20"/>
          <w:lang w:val="pl-PL"/>
        </w:rPr>
      </w:pPr>
      <w:r w:rsidRPr="00A068B6">
        <w:rPr>
          <w:b/>
          <w:sz w:val="20"/>
          <w:szCs w:val="20"/>
          <w:lang w:val="pl-PL"/>
        </w:rPr>
        <w:t>****</w:t>
      </w:r>
    </w:p>
    <w:p w14:paraId="2CA5C30B" w14:textId="77777777" w:rsidR="00CA5537" w:rsidRPr="00A068B6" w:rsidRDefault="00CA5537">
      <w:pPr>
        <w:widowControl/>
        <w:spacing w:line="276" w:lineRule="auto"/>
        <w:rPr>
          <w:b/>
          <w:sz w:val="20"/>
          <w:szCs w:val="20"/>
          <w:lang w:val="pl-PL"/>
        </w:rPr>
      </w:pPr>
    </w:p>
    <w:p w14:paraId="6E383F61" w14:textId="77777777" w:rsidR="00CA5537" w:rsidRPr="00A068B6" w:rsidRDefault="004B02E6">
      <w:pPr>
        <w:widowControl/>
        <w:spacing w:line="276" w:lineRule="auto"/>
        <w:rPr>
          <w:sz w:val="20"/>
          <w:szCs w:val="20"/>
          <w:lang w:val="pl-PL"/>
        </w:rPr>
      </w:pPr>
      <w:r w:rsidRPr="00A068B6">
        <w:rPr>
          <w:b/>
          <w:sz w:val="20"/>
          <w:szCs w:val="20"/>
          <w:lang w:val="pl-PL"/>
        </w:rPr>
        <w:t xml:space="preserve">Uniwersytet SWPS </w:t>
      </w:r>
      <w:r w:rsidRPr="00A068B6">
        <w:rPr>
          <w:sz w:val="20"/>
          <w:szCs w:val="20"/>
          <w:lang w:val="pl-PL"/>
        </w:rPr>
        <w:t>to nowoczesna uczelnia oparta na trwałych wartościach. Silną pozycję zawdzięcza połączeniu wysokiej jakości dydaktyki z badaniami naukowymi prowadzonymi na najwyższym poziom</w:t>
      </w:r>
      <w:r w:rsidRPr="00A068B6">
        <w:rPr>
          <w:sz w:val="20"/>
          <w:szCs w:val="20"/>
          <w:lang w:val="pl-PL"/>
        </w:rPr>
        <w:t>ie. Uczelnia kształci blisko 17 tysięcy studentek i studentów w tym ponad tysiąc z zagranicy oraz ponad 4 tys. słuchaczek i słuchaczy studiów podyplomowych na blisko 50 kierunkach studiów stacjonarnych i niestacjonarnych i ok. 200 kierunkach studiów podypl</w:t>
      </w:r>
      <w:r w:rsidRPr="00A068B6">
        <w:rPr>
          <w:sz w:val="20"/>
          <w:szCs w:val="20"/>
          <w:lang w:val="pl-PL"/>
        </w:rPr>
        <w:t>omowych. Uniwersytet oferuje programy studiów z psychologii, prawa, zarządzania, dziennikarstwa, filologii, kulturoznawstwa, nowych technologii oraz grafiki i wzornictwa, a także edukację w postaci szkoleń i krótkich kursów akademickich. Uczelnia dba o wys</w:t>
      </w:r>
      <w:r w:rsidRPr="00A068B6">
        <w:rPr>
          <w:sz w:val="20"/>
          <w:szCs w:val="20"/>
          <w:lang w:val="pl-PL"/>
        </w:rPr>
        <w:t>oką wartość akademicką naszych programów oraz ich dostosowanie do wymagań zmieniającego się rynku pracy. Kampusy Uniwersytetu SWPS znajdują się w sześciu miastach: Warszawie (siedziba), Wrocławiu, Sopocie, Poznaniu, Katowicach i w Krakowie.</w:t>
      </w:r>
    </w:p>
    <w:p w14:paraId="7EE469E4" w14:textId="77777777" w:rsidR="00CA5537" w:rsidRPr="00A068B6" w:rsidRDefault="004B02E6">
      <w:pPr>
        <w:widowControl/>
        <w:spacing w:line="276" w:lineRule="auto"/>
        <w:rPr>
          <w:sz w:val="20"/>
          <w:szCs w:val="20"/>
          <w:lang w:val="pl-PL"/>
        </w:rPr>
      </w:pPr>
      <w:r w:rsidRPr="00A068B6">
        <w:rPr>
          <w:sz w:val="20"/>
          <w:szCs w:val="20"/>
          <w:lang w:val="pl-PL"/>
        </w:rPr>
        <w:t>Uczelnia posiada uprawnienia do nadawania stopnia doktora oraz doktora habilitowanego w siedmiu dyscyplinach: psychologia, nauki o kulturze i religii, literaturoznawstwo, nauki prawne, nauki socjologiczne, nauki o polityce i administracji, sztuki plastyczn</w:t>
      </w:r>
      <w:r w:rsidRPr="00A068B6">
        <w:rPr>
          <w:sz w:val="20"/>
          <w:szCs w:val="20"/>
          <w:lang w:val="pl-PL"/>
        </w:rPr>
        <w:t>e i konserwacja dzieł sztuki. Na Uniwersytecie SWPS funkcjonuje pięć instytutów naukowych, które zajmują się organizacją i koordynacją działalności naukowej pracowników badawczych i badawczo-dydaktycznych uczelni w poszczególnych dyscyplinach: Instytut Psy</w:t>
      </w:r>
      <w:r w:rsidRPr="00A068B6">
        <w:rPr>
          <w:sz w:val="20"/>
          <w:szCs w:val="20"/>
          <w:lang w:val="pl-PL"/>
        </w:rPr>
        <w:t>chologii, Instytut Nauk Humanistycznych, Instytut Nauk Społecznych, Instytut Prawa oraz Instytut Projektowania. W uczelni działa blisko 30 centrów badawczych oraz ponad 120 kół naukowych.</w:t>
      </w:r>
    </w:p>
    <w:p w14:paraId="1BBF4132" w14:textId="77777777" w:rsidR="00CA5537" w:rsidRPr="00A068B6" w:rsidRDefault="004B02E6">
      <w:pPr>
        <w:widowControl/>
        <w:spacing w:line="276" w:lineRule="auto"/>
        <w:rPr>
          <w:b/>
          <w:sz w:val="20"/>
          <w:szCs w:val="20"/>
          <w:lang w:val="pl-PL"/>
        </w:rPr>
      </w:pPr>
      <w:r w:rsidRPr="00A068B6">
        <w:rPr>
          <w:sz w:val="20"/>
          <w:szCs w:val="20"/>
          <w:lang w:val="pl-PL"/>
        </w:rPr>
        <w:lastRenderedPageBreak/>
        <w:t xml:space="preserve">Uniwersytet SWPS należy do sojuszu </w:t>
      </w:r>
      <w:proofErr w:type="spellStart"/>
      <w:r w:rsidRPr="00A068B6">
        <w:rPr>
          <w:sz w:val="20"/>
          <w:szCs w:val="20"/>
          <w:lang w:val="pl-PL"/>
        </w:rPr>
        <w:t>European</w:t>
      </w:r>
      <w:proofErr w:type="spellEnd"/>
      <w:r w:rsidRPr="00A068B6">
        <w:rPr>
          <w:sz w:val="20"/>
          <w:szCs w:val="20"/>
          <w:lang w:val="pl-PL"/>
        </w:rPr>
        <w:t xml:space="preserve"> Reform University Allian</w:t>
      </w:r>
      <w:r w:rsidRPr="00A068B6">
        <w:rPr>
          <w:sz w:val="20"/>
          <w:szCs w:val="20"/>
          <w:lang w:val="pl-PL"/>
        </w:rPr>
        <w:t xml:space="preserve">ce (ERUA). Jest to sojusz uczelni zawarty w ramach Inicjatywy Uniwersytetów Europejskich, powołanej i finansowanej przez Komisję Europejską. </w:t>
      </w:r>
    </w:p>
    <w:sectPr w:rsidR="00CA5537" w:rsidRPr="00A068B6">
      <w:headerReference w:type="even" r:id="rId8"/>
      <w:headerReference w:type="default" r:id="rId9"/>
      <w:footerReference w:type="default" r:id="rId10"/>
      <w:headerReference w:type="first" r:id="rId11"/>
      <w:pgSz w:w="11910" w:h="16840"/>
      <w:pgMar w:top="0" w:right="1701" w:bottom="2835" w:left="1701" w:header="3685" w:footer="170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D8A8D" w14:textId="77777777" w:rsidR="004B02E6" w:rsidRDefault="004B02E6">
      <w:r>
        <w:separator/>
      </w:r>
    </w:p>
  </w:endnote>
  <w:endnote w:type="continuationSeparator" w:id="0">
    <w:p w14:paraId="3A2DEF28" w14:textId="77777777" w:rsidR="004B02E6" w:rsidRDefault="004B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tserrat">
    <w:charset w:val="EE"/>
    <w:family w:val="auto"/>
    <w:pitch w:val="variable"/>
    <w:sig w:usb0="2000020F" w:usb1="00000003" w:usb2="00000000" w:usb3="00000000" w:csb0="00000197" w:csb1="00000000"/>
  </w:font>
  <w:font w:name="Times New Roman">
    <w:panose1 w:val="02020603050405020304"/>
    <w:charset w:val="EE"/>
    <w:family w:val="roman"/>
    <w:pitch w:val="variable"/>
    <w:sig w:usb0="E0002EFF" w:usb1="C000785B" w:usb2="00000009" w:usb3="00000000" w:csb0="000001FF" w:csb1="00000000"/>
  </w:font>
  <w:font w:name="Allura">
    <w:charset w:val="00"/>
    <w:family w:val="auto"/>
    <w:pitch w:val="default"/>
  </w:font>
  <w:font w:name="Georgia">
    <w:panose1 w:val="02040502050405020303"/>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F451C" w14:textId="77777777" w:rsidR="00CA5537" w:rsidRDefault="004B02E6">
    <w:pPr>
      <w:pBdr>
        <w:top w:val="nil"/>
        <w:left w:val="nil"/>
        <w:bottom w:val="nil"/>
        <w:right w:val="nil"/>
        <w:between w:val="nil"/>
      </w:pBdr>
      <w:tabs>
        <w:tab w:val="center" w:pos="4536"/>
        <w:tab w:val="right" w:pos="9072"/>
      </w:tabs>
      <w:rPr>
        <w:color w:val="000000"/>
      </w:rPr>
    </w:pPr>
    <w:r>
      <w:rPr>
        <w:noProof/>
      </w:rPr>
      <mc:AlternateContent>
        <mc:Choice Requires="wpg">
          <w:drawing>
            <wp:anchor distT="0" distB="0" distL="0" distR="0" simplePos="0" relativeHeight="251656704" behindDoc="1" locked="0" layoutInCell="1" hidden="0" allowOverlap="1" wp14:anchorId="2DA4DD7B" wp14:editId="28D18576">
              <wp:simplePos x="0" y="0"/>
              <wp:positionH relativeFrom="column">
                <wp:posOffset>-4761</wp:posOffset>
              </wp:positionH>
              <wp:positionV relativeFrom="paragraph">
                <wp:posOffset>9571038</wp:posOffset>
              </wp:positionV>
              <wp:extent cx="3571110" cy="427230"/>
              <wp:effectExtent l="0" t="0" r="0" b="0"/>
              <wp:wrapNone/>
              <wp:docPr id="12" name="Prostokąt 12"/>
              <wp:cNvGraphicFramePr/>
              <a:graphic xmlns:a="http://schemas.openxmlformats.org/drawingml/2006/main">
                <a:graphicData uri="http://schemas.microsoft.com/office/word/2010/wordprocessingShape">
                  <wps:wsp>
                    <wps:cNvSpPr/>
                    <wps:spPr>
                      <a:xfrm>
                        <a:off x="3589020" y="3594960"/>
                        <a:ext cx="3513960" cy="370080"/>
                      </a:xfrm>
                      <a:prstGeom prst="rect">
                        <a:avLst/>
                      </a:prstGeom>
                      <a:noFill/>
                      <a:ln>
                        <a:noFill/>
                      </a:ln>
                    </wps:spPr>
                    <wps:txbx>
                      <w:txbxContent>
                        <w:p w14:paraId="75CACBB8" w14:textId="77777777" w:rsidR="00CA5537" w:rsidRDefault="004B02E6">
                          <w:pPr>
                            <w:spacing w:line="275" w:lineRule="auto"/>
                            <w:textDirection w:val="btLr"/>
                          </w:pPr>
                          <w:proofErr w:type="spellStart"/>
                          <w:r>
                            <w:rPr>
                              <w:color w:val="000000"/>
                              <w:sz w:val="14"/>
                            </w:rPr>
                            <w:t>Uniwersytet</w:t>
                          </w:r>
                          <w:proofErr w:type="spellEnd"/>
                          <w:r>
                            <w:rPr>
                              <w:color w:val="000000"/>
                              <w:sz w:val="14"/>
                            </w:rPr>
                            <w:t xml:space="preserve"> SWPS</w:t>
                          </w:r>
                        </w:p>
                        <w:p w14:paraId="7FF6393E" w14:textId="77777777" w:rsidR="00CA5537" w:rsidRDefault="004B02E6">
                          <w:pPr>
                            <w:spacing w:line="275" w:lineRule="auto"/>
                            <w:textDirection w:val="btLr"/>
                          </w:pPr>
                          <w:r>
                            <w:rPr>
                              <w:color w:val="000000"/>
                              <w:sz w:val="14"/>
                            </w:rPr>
                            <w:t xml:space="preserve">ul. </w:t>
                          </w:r>
                          <w:proofErr w:type="spellStart"/>
                          <w:r>
                            <w:rPr>
                              <w:color w:val="000000"/>
                              <w:sz w:val="14"/>
                            </w:rPr>
                            <w:t>Chodakowska</w:t>
                          </w:r>
                          <w:proofErr w:type="spellEnd"/>
                          <w:r>
                            <w:rPr>
                              <w:color w:val="000000"/>
                              <w:sz w:val="14"/>
                            </w:rPr>
                            <w:t xml:space="preserve"> 19/31, 03-815 Warszawa</w:t>
                          </w:r>
                        </w:p>
                      </w:txbxContent>
                    </wps:txbx>
                    <wps:bodyPr spcFirstLastPara="1" wrap="square" lIns="0" tIns="0" rIns="0" bIns="0" anchor="b"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-4761</wp:posOffset>
              </wp:positionH>
              <wp:positionV relativeFrom="paragraph">
                <wp:posOffset>9571038</wp:posOffset>
              </wp:positionV>
              <wp:extent cx="3571110" cy="427230"/>
              <wp:effectExtent b="0" l="0" r="0" t="0"/>
              <wp:wrapNone/>
              <wp:docPr id="1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3571110" cy="427230"/>
                      </a:xfrm>
                      <a:prstGeom prst="rect"/>
                      <a:ln/>
                    </pic:spPr>
                  </pic:pic>
                </a:graphicData>
              </a:graphic>
            </wp:anchor>
          </w:drawing>
        </mc:Fallback>
      </mc:AlternateContent>
    </w:r>
    <w:r>
      <w:rPr>
        <w:noProof/>
      </w:rPr>
      <mc:AlternateContent>
        <mc:Choice Requires="wpg">
          <w:drawing>
            <wp:anchor distT="0" distB="0" distL="0" distR="0" simplePos="0" relativeHeight="251657728" behindDoc="1" locked="0" layoutInCell="1" hidden="0" allowOverlap="1" wp14:anchorId="08F9C82D" wp14:editId="718124AF">
              <wp:simplePos x="0" y="0"/>
              <wp:positionH relativeFrom="column">
                <wp:posOffset>-906460</wp:posOffset>
              </wp:positionH>
              <wp:positionV relativeFrom="paragraph">
                <wp:posOffset>9825038</wp:posOffset>
              </wp:positionV>
              <wp:extent cx="958950" cy="176670"/>
              <wp:effectExtent l="0" t="0" r="0" b="0"/>
              <wp:wrapNone/>
              <wp:docPr id="13" name="Prostokąt 13"/>
              <wp:cNvGraphicFramePr/>
              <a:graphic xmlns:a="http://schemas.openxmlformats.org/drawingml/2006/main">
                <a:graphicData uri="http://schemas.microsoft.com/office/word/2010/wordprocessingShape">
                  <wps:wsp>
                    <wps:cNvSpPr/>
                    <wps:spPr>
                      <a:xfrm>
                        <a:off x="4895100" y="3720240"/>
                        <a:ext cx="901800" cy="119520"/>
                      </a:xfrm>
                      <a:prstGeom prst="rect">
                        <a:avLst/>
                      </a:prstGeom>
                      <a:noFill/>
                      <a:ln>
                        <a:noFill/>
                      </a:ln>
                    </wps:spPr>
                    <wps:txbx>
                      <w:txbxContent>
                        <w:p w14:paraId="06B6EA91" w14:textId="77777777" w:rsidR="00CA5537" w:rsidRDefault="004B02E6">
                          <w:pPr>
                            <w:spacing w:before="20"/>
                            <w:ind w:left="20" w:firstLine="120"/>
                            <w:jc w:val="right"/>
                            <w:textDirection w:val="btLr"/>
                          </w:pPr>
                          <w:r>
                            <w:rPr>
                              <w:b/>
                              <w:color w:val="000000"/>
                              <w:sz w:val="14"/>
                            </w:rPr>
                            <w:t>www.swps.pl</w:t>
                          </w:r>
                        </w:p>
                      </w:txbxContent>
                    </wps:txbx>
                    <wps:bodyPr spcFirstLastPara="1" wrap="square" lIns="0" tIns="0" rIns="0" bIns="0" anchor="b"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-906460</wp:posOffset>
              </wp:positionH>
              <wp:positionV relativeFrom="paragraph">
                <wp:posOffset>9825038</wp:posOffset>
              </wp:positionV>
              <wp:extent cx="958950" cy="176670"/>
              <wp:effectExtent b="0" l="0" r="0" t="0"/>
              <wp:wrapNone/>
              <wp:docPr id="1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958950" cy="176670"/>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BDCFC" w14:textId="77777777" w:rsidR="004B02E6" w:rsidRDefault="004B02E6">
      <w:r>
        <w:separator/>
      </w:r>
    </w:p>
  </w:footnote>
  <w:footnote w:type="continuationSeparator" w:id="0">
    <w:p w14:paraId="6540153F" w14:textId="77777777" w:rsidR="004B02E6" w:rsidRDefault="004B02E6">
      <w:r>
        <w:continuationSeparator/>
      </w:r>
    </w:p>
  </w:footnote>
  <w:footnote w:id="1">
    <w:p w14:paraId="1D9194C4" w14:textId="77777777" w:rsidR="00CA5537" w:rsidRDefault="004B02E6">
      <w:pPr>
        <w:rPr>
          <w:sz w:val="16"/>
          <w:szCs w:val="16"/>
        </w:rPr>
      </w:pPr>
      <w:r>
        <w:rPr>
          <w:vertAlign w:val="superscript"/>
        </w:rPr>
        <w:footnoteRef/>
      </w:r>
      <w:r>
        <w:rPr>
          <w:sz w:val="16"/>
          <w:szCs w:val="16"/>
        </w:rPr>
        <w:t xml:space="preserve"> Hornsey, M. J., Harris, E. A., Bain, P. G. &amp; Fielding, K. S. Meta-analyses of the determinants and outcomes of belief in climate change. Nat. Clim. Change 6, 622–626 (2016).</w:t>
      </w:r>
    </w:p>
  </w:footnote>
  <w:footnote w:id="2">
    <w:p w14:paraId="7504E1FE" w14:textId="77777777" w:rsidR="00CA5537" w:rsidRDefault="004B02E6">
      <w:pPr>
        <w:rPr>
          <w:sz w:val="16"/>
          <w:szCs w:val="16"/>
        </w:rPr>
      </w:pPr>
      <w:r>
        <w:rPr>
          <w:vertAlign w:val="superscript"/>
        </w:rPr>
        <w:footnoteRef/>
      </w:r>
      <w:r>
        <w:rPr>
          <w:sz w:val="20"/>
          <w:szCs w:val="20"/>
        </w:rPr>
        <w:t xml:space="preserve"> </w:t>
      </w:r>
      <w:r>
        <w:rPr>
          <w:sz w:val="16"/>
          <w:szCs w:val="16"/>
        </w:rPr>
        <w:t>Ogunbode, C. A., Doran,</w:t>
      </w:r>
      <w:r>
        <w:rPr>
          <w:sz w:val="16"/>
          <w:szCs w:val="16"/>
        </w:rPr>
        <w:t xml:space="preserve"> R. &amp; Böhm, G. Individual and local flooding experiences are differentially associated with subjective attribution and climate change concern. Clim. Change 162, 2243–2255 (2020).</w:t>
      </w:r>
    </w:p>
  </w:footnote>
  <w:footnote w:id="3">
    <w:p w14:paraId="575EC65B" w14:textId="77777777" w:rsidR="00CA5537" w:rsidRDefault="004B02E6">
      <w:pPr>
        <w:rPr>
          <w:sz w:val="20"/>
          <w:szCs w:val="20"/>
        </w:rPr>
      </w:pPr>
      <w:r>
        <w:rPr>
          <w:vertAlign w:val="superscript"/>
        </w:rPr>
        <w:footnoteRef/>
      </w:r>
      <w:r>
        <w:rPr>
          <w:sz w:val="20"/>
          <w:szCs w:val="20"/>
        </w:rPr>
        <w:t xml:space="preserve"> </w:t>
      </w:r>
      <w:r>
        <w:rPr>
          <w:sz w:val="16"/>
          <w:szCs w:val="16"/>
        </w:rPr>
        <w:t>Hoffmann, R., Muttarak, R., Peisker, J. &amp; Stanig, P. Climate change experie</w:t>
      </w:r>
      <w:r>
        <w:rPr>
          <w:sz w:val="16"/>
          <w:szCs w:val="16"/>
        </w:rPr>
        <w:t>nces raise environmental concerns and promote Green voting. Nat. Clim. Change 12, 148–155 (2022).</w:t>
      </w:r>
    </w:p>
  </w:footnote>
  <w:footnote w:id="4">
    <w:p w14:paraId="69EC7F47" w14:textId="77777777" w:rsidR="00CA5537" w:rsidRDefault="004B02E6">
      <w:pPr>
        <w:rPr>
          <w:sz w:val="16"/>
          <w:szCs w:val="16"/>
        </w:rPr>
      </w:pPr>
      <w:r>
        <w:rPr>
          <w:vertAlign w:val="superscript"/>
        </w:rPr>
        <w:footnoteRef/>
      </w:r>
      <w:r>
        <w:rPr>
          <w:sz w:val="20"/>
          <w:szCs w:val="20"/>
        </w:rPr>
        <w:t xml:space="preserve"> </w:t>
      </w:r>
      <w:r>
        <w:rPr>
          <w:sz w:val="16"/>
          <w:szCs w:val="16"/>
        </w:rPr>
        <w:t>Sisco, M. R. The effects of weather experiences on climate change attitudes and behaviors. Curr. Opin. Environ. Sustain. 52, 111–117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F75E" w14:textId="77777777" w:rsidR="00CA5537" w:rsidRDefault="004B02E6">
    <w:pPr>
      <w:pBdr>
        <w:top w:val="nil"/>
        <w:left w:val="nil"/>
        <w:bottom w:val="nil"/>
        <w:right w:val="nil"/>
        <w:between w:val="nil"/>
      </w:pBdr>
      <w:tabs>
        <w:tab w:val="center" w:pos="4536"/>
        <w:tab w:val="right" w:pos="9072"/>
      </w:tabs>
      <w:rPr>
        <w:color w:val="000000"/>
      </w:rPr>
    </w:pPr>
    <w:r>
      <w:rPr>
        <w:color w:val="000000"/>
      </w:rPr>
      <w:pict w14:anchorId="60FB5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alt="" style="position:absolute;margin-left:0;margin-top:0;width:441.9pt;height:625.15pt;z-index:-251656704;mso-position-horizontal:center;mso-position-horizontal-relative:margin;mso-position-vertical:center;mso-position-vertical-relative:margin">
          <v:imagedata r:id="rId1" o:title="image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0CA4" w14:textId="77777777" w:rsidR="00CA5537" w:rsidRDefault="004B02E6">
    <w:pPr>
      <w:pBdr>
        <w:top w:val="nil"/>
        <w:left w:val="nil"/>
        <w:bottom w:val="nil"/>
        <w:right w:val="nil"/>
        <w:between w:val="nil"/>
      </w:pBdr>
      <w:tabs>
        <w:tab w:val="center" w:pos="4536"/>
        <w:tab w:val="right" w:pos="9072"/>
      </w:tabs>
      <w:rPr>
        <w:color w:val="000000"/>
      </w:rPr>
    </w:pPr>
    <w:r>
      <w:rPr>
        <w:noProof/>
        <w:color w:val="000000"/>
      </w:rPr>
      <w:drawing>
        <wp:anchor distT="0" distB="0" distL="0" distR="0" simplePos="0" relativeHeight="251655680" behindDoc="1" locked="0" layoutInCell="1" hidden="0" allowOverlap="1" wp14:anchorId="262DAC7E" wp14:editId="413F1F69">
          <wp:simplePos x="0" y="0"/>
          <wp:positionH relativeFrom="page">
            <wp:align>center</wp:align>
          </wp:positionH>
          <wp:positionV relativeFrom="page">
            <wp:align>center</wp:align>
          </wp:positionV>
          <wp:extent cx="7556760" cy="10692000"/>
          <wp:effectExtent l="0" t="0" r="0" b="0"/>
          <wp:wrapNone/>
          <wp:docPr id="1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7556760" cy="1069200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49F8" w14:textId="77777777" w:rsidR="00CA5537" w:rsidRDefault="004B02E6">
    <w:pPr>
      <w:pBdr>
        <w:top w:val="nil"/>
        <w:left w:val="nil"/>
        <w:bottom w:val="nil"/>
        <w:right w:val="nil"/>
        <w:between w:val="nil"/>
      </w:pBdr>
      <w:tabs>
        <w:tab w:val="center" w:pos="4536"/>
        <w:tab w:val="right" w:pos="9072"/>
      </w:tabs>
      <w:rPr>
        <w:color w:val="000000"/>
      </w:rPr>
    </w:pPr>
    <w:r>
      <w:rPr>
        <w:color w:val="000000"/>
      </w:rPr>
      <w:pict w14:anchorId="02695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alt="" style="position:absolute;margin-left:0;margin-top:0;width:441.9pt;height:625.15pt;z-index:-251657728;mso-position-horizontal:center;mso-position-horizontal-relative:margin;mso-position-vertical:center;mso-position-vertical-relative:margin">
          <v:imagedata r:id="rId1" o:title="image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537"/>
    <w:rsid w:val="004B02E6"/>
    <w:rsid w:val="00A068B6"/>
    <w:rsid w:val="00CA55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0932FA9"/>
  <w15:docId w15:val="{DD6023C8-8562-489A-A526-F3AC41A1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ontserrat" w:eastAsia="Montserrat" w:hAnsi="Montserrat" w:cs="Montserrat"/>
        <w:sz w:val="22"/>
        <w:szCs w:val="22"/>
        <w:lang w:val="en"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Nagwek2">
    <w:name w:val="heading 2"/>
    <w:basedOn w:val="Normalny"/>
    <w:next w:val="Normalny"/>
    <w:uiPriority w:val="9"/>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Nagwek3">
    <w:name w:val="heading 3"/>
    <w:basedOn w:val="Normalny"/>
    <w:next w:val="Normalny"/>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Nagwek4">
    <w:name w:val="heading 4"/>
    <w:basedOn w:val="Normalny"/>
    <w:next w:val="Normalny"/>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Nagwek5">
    <w:name w:val="heading 5"/>
    <w:basedOn w:val="Normalny"/>
    <w:next w:val="Normalny"/>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Nagwek6">
    <w:name w:val="heading 6"/>
    <w:basedOn w:val="Normalny"/>
    <w:next w:val="Normalny"/>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ytu">
    <w:name w:val="Title"/>
    <w:basedOn w:val="Normalny"/>
    <w:next w:val="Normalny"/>
    <w:uiPriority w:val="10"/>
    <w:qFormat/>
    <w:pPr>
      <w:spacing w:before="25"/>
      <w:ind w:left="20"/>
    </w:pPr>
    <w:rPr>
      <w:rFonts w:ascii="Allura" w:eastAsia="Allura" w:hAnsi="Allura" w:cs="Allura"/>
      <w:sz w:val="59"/>
      <w:szCs w:val="59"/>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ature.com/articles/s41558-025-02372-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YKLYpTSe0xmBIhqeh3mMyRPjxA==">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1136</Words>
  <Characters>6816</Characters>
  <Application>Microsoft Office Word</Application>
  <DocSecurity>0</DocSecurity>
  <Lines>56</Lines>
  <Paragraphs>15</Paragraphs>
  <ScaleCrop>false</ScaleCrop>
  <Company>Uniwersytet SWPS</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Marta Danowska-Kisiel</cp:lastModifiedBy>
  <cp:revision>2</cp:revision>
  <dcterms:created xsi:type="dcterms:W3CDTF">2025-09-29T04:38:00Z</dcterms:created>
  <dcterms:modified xsi:type="dcterms:W3CDTF">2025-09-29T04:38:00Z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